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23D364" w14:textId="589B98CC" w:rsidR="00E4153A" w:rsidRPr="00E4153A" w:rsidRDefault="00E4153A" w:rsidP="00E4153A">
      <w:pPr>
        <w:jc w:val="left"/>
        <w:rPr>
          <w:sz w:val="30"/>
          <w:szCs w:val="30"/>
        </w:rPr>
      </w:pPr>
      <w:r w:rsidRPr="00E4153A">
        <w:rPr>
          <w:rFonts w:hint="eastAsia"/>
          <w:sz w:val="30"/>
          <w:szCs w:val="30"/>
        </w:rPr>
        <w:t>概</w:t>
      </w:r>
      <w:r>
        <w:rPr>
          <w:rFonts w:hint="eastAsia"/>
          <w:sz w:val="30"/>
          <w:szCs w:val="30"/>
        </w:rPr>
        <w:t xml:space="preserve"> </w:t>
      </w:r>
      <w:r>
        <w:rPr>
          <w:sz w:val="30"/>
          <w:szCs w:val="30"/>
        </w:rPr>
        <w:t xml:space="preserve"> </w:t>
      </w:r>
      <w:r w:rsidRPr="00E4153A">
        <w:rPr>
          <w:rFonts w:hint="eastAsia"/>
          <w:sz w:val="30"/>
          <w:szCs w:val="30"/>
        </w:rPr>
        <w:t>述</w:t>
      </w:r>
    </w:p>
    <w:p w14:paraId="2B7D69C0" w14:textId="2BA77B8B" w:rsidR="00E4153A" w:rsidRPr="00E4153A" w:rsidRDefault="00E4153A" w:rsidP="00E4153A">
      <w:pPr>
        <w:ind w:firstLineChars="200" w:firstLine="480"/>
        <w:rPr>
          <w:sz w:val="24"/>
        </w:rPr>
      </w:pPr>
      <w:r w:rsidRPr="00E4153A">
        <w:rPr>
          <w:rFonts w:hint="eastAsia"/>
          <w:sz w:val="24"/>
        </w:rPr>
        <w:t>KWP</w:t>
      </w:r>
      <w:r w:rsidRPr="00E4153A">
        <w:rPr>
          <w:rFonts w:hint="eastAsia"/>
          <w:sz w:val="24"/>
        </w:rPr>
        <w:t>型无堵塞离心泵为卧式、单级、轴向吸入离心泵。可用于城市供水、污水处理工程、化工流程、钢铁和造纸、制糖和罐头食品工业。主要特点是高效，无堵塞。采用后拆式结构，无需拆掉进、出口管路和泵体，就可拆卸转子部件，简化维修。可以对叶轮和前护板进行快速更换，使泵能迅速调整到不同工况所要求的状态。</w:t>
      </w:r>
    </w:p>
    <w:p w14:paraId="054EA2E0" w14:textId="77777777" w:rsidR="00E4153A" w:rsidRPr="00E4153A" w:rsidRDefault="00E4153A" w:rsidP="00E4153A">
      <w:pPr>
        <w:ind w:firstLineChars="200" w:firstLine="480"/>
        <w:rPr>
          <w:sz w:val="24"/>
        </w:rPr>
      </w:pPr>
      <w:r w:rsidRPr="00E4153A">
        <w:rPr>
          <w:rFonts w:hint="eastAsia"/>
          <w:sz w:val="24"/>
        </w:rPr>
        <w:t>KWP</w:t>
      </w:r>
      <w:r w:rsidRPr="00E4153A">
        <w:rPr>
          <w:rFonts w:hint="eastAsia"/>
          <w:sz w:val="24"/>
        </w:rPr>
        <w:t>型泵可以输送清水、各种污水、海水、卤水、废水和污泥浆。故适用于洪水厂，污水处理厂，啤酒厂，矿山以及化学和建筑工业部门。</w:t>
      </w:r>
    </w:p>
    <w:p w14:paraId="34CB20BA" w14:textId="77777777" w:rsidR="00E4153A" w:rsidRPr="00E4153A" w:rsidRDefault="00E4153A" w:rsidP="00E4153A">
      <w:pPr>
        <w:ind w:firstLineChars="200" w:firstLine="480"/>
        <w:rPr>
          <w:sz w:val="24"/>
        </w:rPr>
      </w:pPr>
      <w:r w:rsidRPr="00E4153A">
        <w:rPr>
          <w:rFonts w:hint="eastAsia"/>
          <w:sz w:val="24"/>
        </w:rPr>
        <w:t>KWP</w:t>
      </w:r>
      <w:proofErr w:type="gramStart"/>
      <w:r w:rsidRPr="00E4153A">
        <w:rPr>
          <w:rFonts w:hint="eastAsia"/>
          <w:sz w:val="24"/>
        </w:rPr>
        <w:t>型泵按出口</w:t>
      </w:r>
      <w:proofErr w:type="gramEnd"/>
      <w:r w:rsidRPr="00E4153A">
        <w:rPr>
          <w:rFonts w:hint="eastAsia"/>
          <w:sz w:val="24"/>
        </w:rPr>
        <w:t>尺寸划分的规格范围是从</w:t>
      </w:r>
      <w:r w:rsidRPr="00E4153A">
        <w:rPr>
          <w:rFonts w:hint="eastAsia"/>
          <w:sz w:val="24"/>
        </w:rPr>
        <w:t>40mm</w:t>
      </w:r>
      <w:r w:rsidRPr="00E4153A">
        <w:rPr>
          <w:rFonts w:hint="eastAsia"/>
          <w:sz w:val="24"/>
        </w:rPr>
        <w:t>到</w:t>
      </w:r>
      <w:r w:rsidRPr="00E4153A">
        <w:rPr>
          <w:rFonts w:hint="eastAsia"/>
          <w:sz w:val="24"/>
        </w:rPr>
        <w:t>500mm</w:t>
      </w:r>
      <w:r w:rsidRPr="00E4153A">
        <w:rPr>
          <w:rFonts w:hint="eastAsia"/>
          <w:sz w:val="24"/>
        </w:rPr>
        <w:t>。</w:t>
      </w:r>
    </w:p>
    <w:p w14:paraId="5CD2DF8F" w14:textId="6E1B1F3D" w:rsidR="00E4153A" w:rsidRDefault="00E4153A" w:rsidP="006F0ACD">
      <w:pPr>
        <w:ind w:firstLineChars="200" w:firstLine="480"/>
        <w:rPr>
          <w:sz w:val="44"/>
          <w:szCs w:val="44"/>
        </w:rPr>
      </w:pPr>
      <w:r w:rsidRPr="00E4153A">
        <w:rPr>
          <w:rFonts w:hint="eastAsia"/>
          <w:sz w:val="24"/>
        </w:rPr>
        <w:t>KWP</w:t>
      </w:r>
      <w:r w:rsidRPr="00E4153A">
        <w:rPr>
          <w:rFonts w:hint="eastAsia"/>
          <w:sz w:val="24"/>
        </w:rPr>
        <w:t>型泵一般适用于输送中性介质，</w:t>
      </w:r>
      <w:r w:rsidRPr="00E4153A">
        <w:rPr>
          <w:rFonts w:hint="eastAsia"/>
          <w:sz w:val="24"/>
        </w:rPr>
        <w:t>PH</w:t>
      </w:r>
      <w:r w:rsidRPr="00E4153A">
        <w:rPr>
          <w:rFonts w:hint="eastAsia"/>
          <w:sz w:val="24"/>
        </w:rPr>
        <w:t>值在</w:t>
      </w:r>
      <w:r w:rsidRPr="00E4153A">
        <w:rPr>
          <w:rFonts w:hint="eastAsia"/>
          <w:sz w:val="24"/>
        </w:rPr>
        <w:t>6-8</w:t>
      </w:r>
      <w:r w:rsidRPr="00E4153A">
        <w:rPr>
          <w:rFonts w:hint="eastAsia"/>
          <w:sz w:val="24"/>
        </w:rPr>
        <w:t>左右。对于输送腐蚀性介质等有特殊要求的可以选用耐腐系列或耐磨系列材质。</w:t>
      </w:r>
    </w:p>
    <w:p w14:paraId="52BDEE5C" w14:textId="77777777" w:rsidR="006F0ACD" w:rsidRPr="006F0ACD" w:rsidRDefault="006F0ACD" w:rsidP="006F0ACD">
      <w:pPr>
        <w:ind w:firstLineChars="200" w:firstLine="880"/>
        <w:rPr>
          <w:sz w:val="44"/>
          <w:szCs w:val="44"/>
        </w:rPr>
      </w:pPr>
    </w:p>
    <w:p w14:paraId="0D96DE3D" w14:textId="72164E9D" w:rsidR="00BB554E" w:rsidRDefault="00E4153A" w:rsidP="00BB554E">
      <w:pPr>
        <w:rPr>
          <w:sz w:val="30"/>
          <w:szCs w:val="30"/>
        </w:rPr>
      </w:pPr>
      <w:r w:rsidRPr="00E4153A">
        <w:rPr>
          <w:rFonts w:hint="eastAsia"/>
          <w:sz w:val="30"/>
          <w:szCs w:val="30"/>
        </w:rPr>
        <w:t>密封形式</w:t>
      </w:r>
    </w:p>
    <w:p w14:paraId="5059E216" w14:textId="238D0F2F" w:rsidR="00E4153A" w:rsidRDefault="00E4153A" w:rsidP="00E4153A">
      <w:pPr>
        <w:ind w:firstLineChars="200" w:firstLine="480"/>
        <w:jc w:val="left"/>
        <w:rPr>
          <w:sz w:val="24"/>
        </w:rPr>
      </w:pPr>
      <w:r w:rsidRPr="00E4153A">
        <w:rPr>
          <w:rFonts w:hint="eastAsia"/>
          <w:sz w:val="24"/>
        </w:rPr>
        <w:t>填料密封</w:t>
      </w:r>
      <w:r>
        <w:rPr>
          <w:rFonts w:hint="eastAsia"/>
          <w:sz w:val="24"/>
        </w:rPr>
        <w:t>：</w:t>
      </w:r>
      <w:r w:rsidRPr="00E4153A">
        <w:rPr>
          <w:rFonts w:hint="eastAsia"/>
          <w:sz w:val="24"/>
        </w:rPr>
        <w:t>有标准型和高温型两种结构。当输送介质温度超过</w:t>
      </w:r>
      <w:r w:rsidRPr="00E4153A">
        <w:rPr>
          <w:rFonts w:hint="eastAsia"/>
          <w:sz w:val="24"/>
        </w:rPr>
        <w:t>90</w:t>
      </w:r>
      <w:r>
        <w:rPr>
          <w:rFonts w:hint="eastAsia"/>
          <w:sz w:val="24"/>
        </w:rPr>
        <w:t>℃</w:t>
      </w:r>
      <w:r w:rsidRPr="00E4153A">
        <w:rPr>
          <w:rFonts w:hint="eastAsia"/>
          <w:sz w:val="24"/>
        </w:rPr>
        <w:t>时应用高温型，该型式的填料箱带有冷却函，通以冷却水，以利于高温输送工况。</w:t>
      </w:r>
    </w:p>
    <w:p w14:paraId="16E4CA05" w14:textId="20528902" w:rsidR="00E4153A" w:rsidRDefault="00E4153A" w:rsidP="00E4153A">
      <w:pPr>
        <w:ind w:firstLineChars="200" w:firstLine="480"/>
        <w:jc w:val="left"/>
        <w:rPr>
          <w:sz w:val="24"/>
        </w:rPr>
      </w:pPr>
      <w:r w:rsidRPr="00E4153A">
        <w:rPr>
          <w:rFonts w:hint="eastAsia"/>
          <w:sz w:val="24"/>
        </w:rPr>
        <w:t>机械密封</w:t>
      </w:r>
      <w:r>
        <w:rPr>
          <w:rFonts w:hint="eastAsia"/>
          <w:sz w:val="24"/>
        </w:rPr>
        <w:t>：</w:t>
      </w:r>
      <w:r w:rsidRPr="00E4153A">
        <w:rPr>
          <w:rFonts w:hint="eastAsia"/>
          <w:sz w:val="24"/>
        </w:rPr>
        <w:t>对输送介质不能泄漏的场合，也可采用机械密封。机械密封有单端面、双端面</w:t>
      </w:r>
      <w:r>
        <w:rPr>
          <w:rFonts w:hint="eastAsia"/>
          <w:sz w:val="24"/>
        </w:rPr>
        <w:t>，</w:t>
      </w:r>
      <w:r w:rsidRPr="00E4153A">
        <w:rPr>
          <w:rFonts w:hint="eastAsia"/>
          <w:sz w:val="24"/>
        </w:rPr>
        <w:t>可根据不同场合选用。</w:t>
      </w:r>
    </w:p>
    <w:p w14:paraId="639DAF1D" w14:textId="77777777" w:rsidR="00E4153A" w:rsidRDefault="00E4153A" w:rsidP="00E4153A">
      <w:pPr>
        <w:ind w:firstLineChars="200" w:firstLine="480"/>
        <w:jc w:val="left"/>
        <w:rPr>
          <w:sz w:val="24"/>
        </w:rPr>
      </w:pPr>
    </w:p>
    <w:p w14:paraId="315FF32F" w14:textId="4C61CE08" w:rsidR="00E4153A" w:rsidRPr="00E4153A" w:rsidRDefault="00E4153A" w:rsidP="00E4153A">
      <w:pPr>
        <w:rPr>
          <w:sz w:val="30"/>
          <w:szCs w:val="30"/>
        </w:rPr>
      </w:pPr>
      <w:r w:rsidRPr="00E4153A">
        <w:rPr>
          <w:rFonts w:hint="eastAsia"/>
          <w:sz w:val="30"/>
          <w:szCs w:val="30"/>
        </w:rPr>
        <w:t>传动方式</w:t>
      </w:r>
    </w:p>
    <w:p w14:paraId="64D86BF6" w14:textId="66E5AB89" w:rsidR="00E4153A" w:rsidRDefault="00E4153A" w:rsidP="00E4153A">
      <w:pPr>
        <w:ind w:firstLineChars="200" w:firstLine="480"/>
        <w:jc w:val="left"/>
        <w:rPr>
          <w:sz w:val="24"/>
        </w:rPr>
      </w:pPr>
      <w:r>
        <w:rPr>
          <w:rFonts w:hint="eastAsia"/>
          <w:sz w:val="24"/>
        </w:rPr>
        <w:t>一般以直联传动。也可以采用皮带传动等间接驱动方式，传动比范围为</w:t>
      </w:r>
      <w:r>
        <w:rPr>
          <w:rFonts w:hint="eastAsia"/>
          <w:sz w:val="24"/>
        </w:rPr>
        <w:t>1</w:t>
      </w:r>
      <w:r>
        <w:rPr>
          <w:sz w:val="24"/>
        </w:rPr>
        <w:t>:1~1:2</w:t>
      </w:r>
      <w:r>
        <w:rPr>
          <w:rFonts w:hint="eastAsia"/>
          <w:sz w:val="24"/>
        </w:rPr>
        <w:t>。</w:t>
      </w:r>
    </w:p>
    <w:p w14:paraId="08987236" w14:textId="77777777" w:rsidR="00F03E85" w:rsidRDefault="00F03E85" w:rsidP="00E4153A">
      <w:pPr>
        <w:ind w:firstLineChars="200" w:firstLine="480"/>
        <w:jc w:val="left"/>
        <w:rPr>
          <w:sz w:val="24"/>
        </w:rPr>
      </w:pPr>
    </w:p>
    <w:p w14:paraId="5FDB3F90" w14:textId="77777777" w:rsidR="00F03E85" w:rsidRPr="00E4153A" w:rsidRDefault="00F03E85" w:rsidP="00E4153A">
      <w:pPr>
        <w:ind w:firstLineChars="200" w:firstLine="480"/>
        <w:jc w:val="left"/>
        <w:rPr>
          <w:sz w:val="24"/>
        </w:rPr>
      </w:pPr>
    </w:p>
    <w:p w14:paraId="11B12D59" w14:textId="7E06ED8F" w:rsidR="00E4153A" w:rsidRDefault="00587590" w:rsidP="00BB554E">
      <w:pPr>
        <w:rPr>
          <w:sz w:val="30"/>
          <w:szCs w:val="30"/>
        </w:rPr>
      </w:pPr>
      <w:r>
        <w:rPr>
          <w:noProof/>
          <w:sz w:val="30"/>
          <w:szCs w:val="30"/>
        </w:rPr>
        <w:drawing>
          <wp:inline distT="0" distB="0" distL="0" distR="0" wp14:anchorId="14033704" wp14:editId="12BC9307">
            <wp:extent cx="3553200" cy="3038400"/>
            <wp:effectExtent l="0" t="0" r="0" b="0"/>
            <wp:docPr id="12611953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53200" cy="3038400"/>
                    </a:xfrm>
                    <a:prstGeom prst="rect">
                      <a:avLst/>
                    </a:prstGeom>
                    <a:noFill/>
                    <a:ln>
                      <a:noFill/>
                    </a:ln>
                  </pic:spPr>
                </pic:pic>
              </a:graphicData>
            </a:graphic>
          </wp:inline>
        </w:drawing>
      </w:r>
    </w:p>
    <w:p w14:paraId="2A1D4B58" w14:textId="77777777" w:rsidR="00797CD8" w:rsidRPr="00797CD8" w:rsidRDefault="00797CD8" w:rsidP="00797CD8">
      <w:pPr>
        <w:rPr>
          <w:sz w:val="30"/>
          <w:szCs w:val="30"/>
        </w:rPr>
      </w:pPr>
      <w:r w:rsidRPr="00797CD8">
        <w:rPr>
          <w:sz w:val="30"/>
          <w:szCs w:val="30"/>
        </w:rPr>
        <w:lastRenderedPageBreak/>
        <w:t>Overview</w:t>
      </w:r>
    </w:p>
    <w:p w14:paraId="40E028E3" w14:textId="5327ED64" w:rsidR="00797CD8" w:rsidRPr="00797CD8" w:rsidRDefault="00797CD8" w:rsidP="00797CD8">
      <w:pPr>
        <w:ind w:firstLineChars="200" w:firstLine="480"/>
        <w:rPr>
          <w:sz w:val="24"/>
        </w:rPr>
      </w:pPr>
      <w:r w:rsidRPr="00797CD8">
        <w:rPr>
          <w:sz w:val="24"/>
        </w:rPr>
        <w:t>The KWP type non clogging centrifugal pump is a horizontal, single-stage, axial suction centrifugal pump. It can be used in urban water supply, sewage treatment engineering, chemical processes, steel and papermaking, sugar making, and canned food industries. The main characteristics are high efficiency and no blockage. Adopting a rear dismantling structure, the rotor components can be disassembled without</w:t>
      </w:r>
      <w:r w:rsidRPr="00FE699B">
        <w:rPr>
          <w:strike/>
          <w:color w:val="FF0000"/>
          <w:sz w:val="24"/>
        </w:rPr>
        <w:t xml:space="preserve"> </w:t>
      </w:r>
      <w:r w:rsidRPr="00797CD8">
        <w:rPr>
          <w:sz w:val="24"/>
        </w:rPr>
        <w:t>dismantl</w:t>
      </w:r>
      <w:r w:rsidR="00FE699B">
        <w:rPr>
          <w:rFonts w:hint="eastAsia"/>
          <w:sz w:val="24"/>
        </w:rPr>
        <w:t>ing</w:t>
      </w:r>
      <w:r w:rsidRPr="00797CD8">
        <w:rPr>
          <w:sz w:val="24"/>
        </w:rPr>
        <w:t xml:space="preserve"> the inlet and outlet pipelines and pump body, simplifying maintenance. The impeller and </w:t>
      </w:r>
      <w:r w:rsidR="00FE699B">
        <w:rPr>
          <w:sz w:val="24"/>
        </w:rPr>
        <w:t xml:space="preserve">Cover Plate Liner Insert </w:t>
      </w:r>
      <w:r w:rsidRPr="00797CD8">
        <w:rPr>
          <w:sz w:val="24"/>
        </w:rPr>
        <w:t>can be quickly replaced to enable the pump to quickly adjust to different working conditions.</w:t>
      </w:r>
    </w:p>
    <w:p w14:paraId="728D75F6" w14:textId="77777777" w:rsidR="00797CD8" w:rsidRPr="00797CD8" w:rsidRDefault="00797CD8" w:rsidP="00797CD8">
      <w:pPr>
        <w:ind w:firstLineChars="200" w:firstLine="480"/>
        <w:rPr>
          <w:sz w:val="24"/>
        </w:rPr>
      </w:pPr>
      <w:r w:rsidRPr="00797CD8">
        <w:rPr>
          <w:sz w:val="24"/>
        </w:rPr>
        <w:t>The KWP pump can transport clean water, various types of sewage, seawater, brine, wastewater, and sewage slurry. Therefore, it is suitable for flood control plants, sewage treatment plants, breweries, mines, as well as chemical and construction industries.</w:t>
      </w:r>
    </w:p>
    <w:p w14:paraId="00C9DD20" w14:textId="37F354FB" w:rsidR="00E4153A" w:rsidRDefault="00797CD8" w:rsidP="00797CD8">
      <w:pPr>
        <w:ind w:firstLineChars="200" w:firstLine="480"/>
        <w:rPr>
          <w:sz w:val="24"/>
        </w:rPr>
      </w:pPr>
      <w:r w:rsidRPr="00797CD8">
        <w:rPr>
          <w:sz w:val="24"/>
        </w:rPr>
        <w:t>The specification range of KWP pumps based on outlet size is from 40mm to 500mm.</w:t>
      </w:r>
    </w:p>
    <w:p w14:paraId="04F3FAC3" w14:textId="39215642" w:rsidR="00797CD8" w:rsidRPr="00797CD8" w:rsidRDefault="00797CD8" w:rsidP="00797CD8">
      <w:pPr>
        <w:ind w:firstLineChars="200" w:firstLine="480"/>
        <w:rPr>
          <w:sz w:val="24"/>
        </w:rPr>
      </w:pPr>
      <w:r w:rsidRPr="00797CD8">
        <w:rPr>
          <w:sz w:val="24"/>
        </w:rPr>
        <w:t>KWP pumps are generally suitable for conveying neutral media, with a pH value of around 6-8. For transporting corrosive media with special requirements, corrosion-resistant or wear-resistant materials can be selected.</w:t>
      </w:r>
    </w:p>
    <w:p w14:paraId="33765AA8" w14:textId="77777777" w:rsidR="00797CD8" w:rsidRPr="00797CD8" w:rsidRDefault="00797CD8" w:rsidP="00797CD8">
      <w:pPr>
        <w:rPr>
          <w:sz w:val="30"/>
          <w:szCs w:val="30"/>
        </w:rPr>
      </w:pPr>
      <w:r w:rsidRPr="00797CD8">
        <w:rPr>
          <w:sz w:val="30"/>
          <w:szCs w:val="30"/>
        </w:rPr>
        <w:t>Sealing form</w:t>
      </w:r>
    </w:p>
    <w:p w14:paraId="5E80B905" w14:textId="77777777" w:rsidR="00797CD8" w:rsidRPr="00797CD8" w:rsidRDefault="00797CD8" w:rsidP="00797CD8">
      <w:pPr>
        <w:tabs>
          <w:tab w:val="left" w:pos="9168"/>
        </w:tabs>
        <w:ind w:firstLineChars="200" w:firstLine="480"/>
        <w:rPr>
          <w:sz w:val="24"/>
        </w:rPr>
      </w:pPr>
      <w:r w:rsidRPr="00797CD8">
        <w:rPr>
          <w:rFonts w:hint="eastAsia"/>
          <w:sz w:val="24"/>
        </w:rPr>
        <w:t xml:space="preserve">Packing seal: There are two types of structures: standard and </w:t>
      </w:r>
      <w:proofErr w:type="gramStart"/>
      <w:r w:rsidRPr="00797CD8">
        <w:rPr>
          <w:rFonts w:hint="eastAsia"/>
          <w:sz w:val="24"/>
        </w:rPr>
        <w:t>high-temperature</w:t>
      </w:r>
      <w:proofErr w:type="gramEnd"/>
      <w:r w:rsidRPr="00797CD8">
        <w:rPr>
          <w:rFonts w:hint="eastAsia"/>
          <w:sz w:val="24"/>
        </w:rPr>
        <w:t xml:space="preserve">. When the temperature of the conveying medium exceeds 90 </w:t>
      </w:r>
      <w:r w:rsidRPr="00797CD8">
        <w:rPr>
          <w:rFonts w:hint="eastAsia"/>
          <w:sz w:val="24"/>
        </w:rPr>
        <w:t>℃</w:t>
      </w:r>
      <w:r w:rsidRPr="00797CD8">
        <w:rPr>
          <w:rFonts w:hint="eastAsia"/>
          <w:sz w:val="24"/>
        </w:rPr>
        <w:t>, a high-temperature type should be used. This type of packing box is equipped with a cooling box, which is filled with</w:t>
      </w:r>
      <w:r w:rsidRPr="00797CD8">
        <w:rPr>
          <w:sz w:val="24"/>
        </w:rPr>
        <w:t xml:space="preserve"> cooling water to facilitate </w:t>
      </w:r>
      <w:proofErr w:type="gramStart"/>
      <w:r w:rsidRPr="00797CD8">
        <w:rPr>
          <w:sz w:val="24"/>
        </w:rPr>
        <w:t>high-temperature</w:t>
      </w:r>
      <w:proofErr w:type="gramEnd"/>
      <w:r w:rsidRPr="00797CD8">
        <w:rPr>
          <w:sz w:val="24"/>
        </w:rPr>
        <w:t xml:space="preserve"> conveying conditions.</w:t>
      </w:r>
    </w:p>
    <w:p w14:paraId="796DDBB2" w14:textId="77777777" w:rsidR="006266E2" w:rsidRDefault="00797CD8" w:rsidP="00797CD8">
      <w:pPr>
        <w:tabs>
          <w:tab w:val="left" w:pos="9168"/>
        </w:tabs>
        <w:ind w:firstLineChars="200" w:firstLine="480"/>
        <w:rPr>
          <w:sz w:val="24"/>
        </w:rPr>
      </w:pPr>
      <w:r w:rsidRPr="00797CD8">
        <w:rPr>
          <w:sz w:val="24"/>
        </w:rPr>
        <w:t>Mechanical seal: In situations where the conveying medium cannot leak, mechanical seal can also be used. Mechanical seals have single and double end faces, which can be selected according to different occasions.</w:t>
      </w:r>
    </w:p>
    <w:p w14:paraId="50070688" w14:textId="3DCB056C" w:rsidR="006266E2" w:rsidRPr="006266E2" w:rsidRDefault="00A9494C" w:rsidP="006266E2">
      <w:pPr>
        <w:rPr>
          <w:sz w:val="44"/>
          <w:szCs w:val="44"/>
        </w:rPr>
      </w:pPr>
      <w:r>
        <w:rPr>
          <w:sz w:val="30"/>
          <w:szCs w:val="30"/>
        </w:rPr>
        <w:t xml:space="preserve">Drive </w:t>
      </w:r>
      <w:r w:rsidR="006266E2" w:rsidRPr="006266E2">
        <w:rPr>
          <w:sz w:val="30"/>
          <w:szCs w:val="30"/>
        </w:rPr>
        <w:t>mode</w:t>
      </w:r>
    </w:p>
    <w:p w14:paraId="5D7B7D5A" w14:textId="6CB5BA65" w:rsidR="00BB554E" w:rsidRPr="00797CD8" w:rsidRDefault="00A9494C" w:rsidP="006266E2">
      <w:pPr>
        <w:tabs>
          <w:tab w:val="left" w:pos="9168"/>
        </w:tabs>
        <w:ind w:firstLineChars="200" w:firstLine="480"/>
        <w:rPr>
          <w:sz w:val="24"/>
        </w:rPr>
      </w:pPr>
      <w:r>
        <w:rPr>
          <w:sz w:val="24"/>
        </w:rPr>
        <w:t>D</w:t>
      </w:r>
      <w:r w:rsidR="006266E2" w:rsidRPr="006266E2">
        <w:rPr>
          <w:sz w:val="24"/>
        </w:rPr>
        <w:t xml:space="preserve">irect </w:t>
      </w:r>
      <w:r w:rsidR="00F43172">
        <w:rPr>
          <w:sz w:val="24"/>
        </w:rPr>
        <w:t xml:space="preserve">drive </w:t>
      </w:r>
      <w:r w:rsidR="006266E2" w:rsidRPr="006266E2">
        <w:rPr>
          <w:sz w:val="24"/>
        </w:rPr>
        <w:t xml:space="preserve">is </w:t>
      </w:r>
      <w:r>
        <w:rPr>
          <w:sz w:val="24"/>
        </w:rPr>
        <w:t xml:space="preserve">generally </w:t>
      </w:r>
      <w:r w:rsidR="006266E2" w:rsidRPr="006266E2">
        <w:rPr>
          <w:sz w:val="24"/>
        </w:rPr>
        <w:t xml:space="preserve">used. Indirect driving methods such as belt </w:t>
      </w:r>
      <w:r w:rsidR="00F43172">
        <w:rPr>
          <w:sz w:val="24"/>
        </w:rPr>
        <w:t xml:space="preserve">drive </w:t>
      </w:r>
      <w:r w:rsidR="006266E2" w:rsidRPr="006266E2">
        <w:rPr>
          <w:sz w:val="24"/>
        </w:rPr>
        <w:t>can also be used, with a transmission ratio range of 1:1 to 1:2.</w:t>
      </w:r>
      <w:r w:rsidR="00BB554E">
        <w:rPr>
          <w:sz w:val="44"/>
          <w:szCs w:val="44"/>
        </w:rPr>
        <w:tab/>
      </w:r>
    </w:p>
    <w:sectPr w:rsidR="00BB554E" w:rsidRPr="00797CD8" w:rsidSect="008933E9">
      <w:headerReference w:type="even" r:id="rId8"/>
      <w:headerReference w:type="default" r:id="rId9"/>
      <w:footerReference w:type="default" r:id="rId10"/>
      <w:pgSz w:w="11906" w:h="16838"/>
      <w:pgMar w:top="720" w:right="720" w:bottom="720" w:left="720" w:header="851" w:footer="1474"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DD9CA1" w14:textId="77777777" w:rsidR="008933E9" w:rsidRDefault="008933E9" w:rsidP="00287545">
      <w:r>
        <w:separator/>
      </w:r>
    </w:p>
  </w:endnote>
  <w:endnote w:type="continuationSeparator" w:id="0">
    <w:p w14:paraId="51D2960F" w14:textId="77777777" w:rsidR="008933E9" w:rsidRDefault="008933E9" w:rsidP="002875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80BF9" w14:textId="7C300C2F" w:rsidR="00E17B8C" w:rsidRPr="00E17B8C" w:rsidRDefault="00380048" w:rsidP="003E098E">
    <w:pPr>
      <w:pStyle w:val="a6"/>
      <w:jc w:val="center"/>
      <w:rPr>
        <w:color w:val="FF0000"/>
        <w:sz w:val="21"/>
      </w:rPr>
    </w:pPr>
    <w:r>
      <w:rPr>
        <w:color w:val="FF0000"/>
        <w:sz w:val="21"/>
      </w:rPr>
      <w:t xml:space="preserve">HEBEI HANCHANG MINERALS </w:t>
    </w:r>
    <w:r w:rsidR="003D40D9">
      <w:rPr>
        <w:color w:val="FF0000"/>
        <w:sz w:val="21"/>
      </w:rPr>
      <w:t>CO., LTD</w:t>
    </w:r>
    <w:r w:rsidR="00E17B8C" w:rsidRPr="00E17B8C">
      <w:rPr>
        <w:rFonts w:hint="eastAsia"/>
        <w:color w:val="FF0000"/>
        <w:sz w:val="21"/>
      </w:rPr>
      <w:t xml:space="preserve">  </w:t>
    </w:r>
    <w:r>
      <w:rPr>
        <w:color w:val="FF0000"/>
        <w:sz w:val="21"/>
      </w:rPr>
      <w:t xml:space="preserve">                                     </w:t>
    </w:r>
    <w:r w:rsidR="00E17B8C" w:rsidRPr="00E17B8C">
      <w:rPr>
        <w:rFonts w:hint="eastAsia"/>
        <w:color w:val="FF0000"/>
        <w:sz w:val="21"/>
      </w:rPr>
      <w:t xml:space="preserve">  </w:t>
    </w:r>
    <w:r w:rsidR="00B24721">
      <w:rPr>
        <w:rFonts w:hint="eastAsia"/>
        <w:color w:val="FF0000"/>
        <w:sz w:val="21"/>
      </w:rPr>
      <w:t>T</w:t>
    </w:r>
    <w:r w:rsidR="00B24721">
      <w:rPr>
        <w:color w:val="FF0000"/>
        <w:sz w:val="21"/>
      </w:rPr>
      <w:t>el</w:t>
    </w:r>
    <w:r w:rsidR="00E17B8C" w:rsidRPr="00E17B8C">
      <w:rPr>
        <w:rFonts w:hint="eastAsia"/>
        <w:color w:val="FF0000"/>
        <w:sz w:val="21"/>
      </w:rPr>
      <w:t>：</w:t>
    </w:r>
    <w:r w:rsidR="00B24721">
      <w:rPr>
        <w:rFonts w:hint="eastAsia"/>
        <w:color w:val="FF0000"/>
        <w:sz w:val="21"/>
      </w:rPr>
      <w:t>+</w:t>
    </w:r>
    <w:r w:rsidR="00B24721">
      <w:rPr>
        <w:color w:val="FF0000"/>
        <w:sz w:val="21"/>
      </w:rPr>
      <w:t>86-</w:t>
    </w:r>
    <w:r w:rsidR="00E17B8C" w:rsidRPr="00E17B8C">
      <w:rPr>
        <w:rFonts w:hint="eastAsia"/>
        <w:color w:val="FF0000"/>
        <w:sz w:val="21"/>
      </w:rPr>
      <w:t>311-</w:t>
    </w:r>
    <w:r w:rsidR="003D40D9">
      <w:rPr>
        <w:color w:val="FF0000"/>
        <w:sz w:val="21"/>
      </w:rPr>
      <w:t>82579599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186D0D" w14:textId="77777777" w:rsidR="008933E9" w:rsidRDefault="008933E9" w:rsidP="00287545">
      <w:r>
        <w:separator/>
      </w:r>
    </w:p>
  </w:footnote>
  <w:footnote w:type="continuationSeparator" w:id="0">
    <w:p w14:paraId="2E129246" w14:textId="77777777" w:rsidR="008933E9" w:rsidRDefault="008933E9" w:rsidP="002875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3027E" w14:textId="324587EA" w:rsidR="00F2333F" w:rsidRDefault="00E4153A">
    <w:pPr>
      <w:pStyle w:val="a4"/>
    </w:pPr>
    <w:r>
      <w:rPr>
        <w:noProof/>
        <w:color w:val="FF0000"/>
        <w:sz w:val="52"/>
        <w:szCs w:val="52"/>
      </w:rPr>
      <w:drawing>
        <wp:inline distT="0" distB="0" distL="0" distR="0" wp14:anchorId="2D81695B" wp14:editId="77CDEE8D">
          <wp:extent cx="6642100" cy="3467735"/>
          <wp:effectExtent l="0" t="0" r="6350" b="0"/>
          <wp:docPr id="8703059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2100" cy="346773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31786" w14:textId="6FB6124D" w:rsidR="00E17B8C" w:rsidRPr="000D4A86" w:rsidRDefault="005B1B72" w:rsidP="005B1B72">
    <w:pPr>
      <w:pStyle w:val="a4"/>
      <w:pBdr>
        <w:bottom w:val="single" w:sz="6" w:space="0" w:color="auto"/>
      </w:pBdr>
      <w:ind w:right="1040"/>
      <w:jc w:val="right"/>
      <w:rPr>
        <w:color w:val="FF0000"/>
        <w:sz w:val="52"/>
        <w:szCs w:val="52"/>
      </w:rPr>
    </w:pPr>
    <w:r>
      <w:rPr>
        <w:rFonts w:hint="eastAsia"/>
        <w:noProof/>
        <w:color w:val="FF0000"/>
        <w:sz w:val="52"/>
        <w:szCs w:val="52"/>
      </w:rPr>
      <w:drawing>
        <wp:inline distT="0" distB="0" distL="0" distR="0" wp14:anchorId="2F3DA7D3" wp14:editId="6A08EF86">
          <wp:extent cx="1596677" cy="586740"/>
          <wp:effectExtent l="0" t="0" r="3810" b="3810"/>
          <wp:docPr id="3" name="图片 3"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卡通人物&#10;&#10;中度可信度描述已自动生成"/>
                  <pic:cNvPicPr/>
                </pic:nvPicPr>
                <pic:blipFill>
                  <a:blip r:embed="rId1">
                    <a:extLst>
                      <a:ext uri="{28A0092B-C50C-407E-A947-70E740481C1C}">
                        <a14:useLocalDpi xmlns:a14="http://schemas.microsoft.com/office/drawing/2010/main" val="0"/>
                      </a:ext>
                    </a:extLst>
                  </a:blip>
                  <a:stretch>
                    <a:fillRect/>
                  </a:stretch>
                </pic:blipFill>
                <pic:spPr>
                  <a:xfrm>
                    <a:off x="0" y="0"/>
                    <a:ext cx="1603104" cy="589102"/>
                  </a:xfrm>
                  <a:prstGeom prst="rect">
                    <a:avLst/>
                  </a:prstGeom>
                </pic:spPr>
              </pic:pic>
            </a:graphicData>
          </a:graphic>
        </wp:inline>
      </w:drawing>
    </w:r>
    <w:r w:rsidR="00F2333F">
      <w:rPr>
        <w:rFonts w:hint="eastAsia"/>
        <w:color w:val="FF0000"/>
        <w:sz w:val="52"/>
        <w:szCs w:val="52"/>
      </w:rPr>
      <w:t xml:space="preserve">         </w:t>
    </w:r>
    <w:r w:rsidR="000D4A86">
      <w:rPr>
        <w:color w:val="FF0000"/>
        <w:sz w:val="52"/>
        <w:szCs w:val="52"/>
      </w:rPr>
      <w:t xml:space="preserve">   </w:t>
    </w:r>
    <w:r>
      <w:rPr>
        <w:color w:val="FF0000"/>
        <w:sz w:val="52"/>
        <w:szCs w:val="52"/>
      </w:rPr>
      <w:t xml:space="preserve"> </w:t>
    </w:r>
    <w:r>
      <w:rPr>
        <w:rFonts w:hint="eastAsia"/>
        <w:color w:val="FF0000"/>
        <w:sz w:val="28"/>
        <w:szCs w:val="28"/>
      </w:rPr>
      <w:t>河北汉昌矿山机械有限公司</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6DE6CF4"/>
    <w:multiLevelType w:val="hybridMultilevel"/>
    <w:tmpl w:val="DDFCC60A"/>
    <w:lvl w:ilvl="0" w:tplc="B3AC4386">
      <w:start w:val="1"/>
      <w:numFmt w:val="decimal"/>
      <w:lvlText w:val="%1、"/>
      <w:lvlJc w:val="left"/>
      <w:pPr>
        <w:ind w:left="945" w:hanging="94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15:restartNumberingAfterBreak="0">
    <w:nsid w:val="625C2D1C"/>
    <w:multiLevelType w:val="hybridMultilevel"/>
    <w:tmpl w:val="72A2536A"/>
    <w:lvl w:ilvl="0" w:tplc="57B4FA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263611234">
    <w:abstractNumId w:val="0"/>
  </w:num>
  <w:num w:numId="2" w16cid:durableId="18093987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715B3"/>
    <w:rsid w:val="00000757"/>
    <w:rsid w:val="00044446"/>
    <w:rsid w:val="00047B83"/>
    <w:rsid w:val="000602A1"/>
    <w:rsid w:val="000A07E5"/>
    <w:rsid w:val="000A7946"/>
    <w:rsid w:val="000B10F2"/>
    <w:rsid w:val="000B678E"/>
    <w:rsid w:val="000C47D2"/>
    <w:rsid w:val="000D4A86"/>
    <w:rsid w:val="001107FC"/>
    <w:rsid w:val="001203E1"/>
    <w:rsid w:val="00145A47"/>
    <w:rsid w:val="001A18CB"/>
    <w:rsid w:val="001C1E89"/>
    <w:rsid w:val="001D7026"/>
    <w:rsid w:val="001E0045"/>
    <w:rsid w:val="00215BF8"/>
    <w:rsid w:val="00266927"/>
    <w:rsid w:val="00287545"/>
    <w:rsid w:val="002E0B32"/>
    <w:rsid w:val="002E6859"/>
    <w:rsid w:val="00305BE1"/>
    <w:rsid w:val="00343271"/>
    <w:rsid w:val="00362A43"/>
    <w:rsid w:val="00372857"/>
    <w:rsid w:val="00380048"/>
    <w:rsid w:val="00384693"/>
    <w:rsid w:val="00384B91"/>
    <w:rsid w:val="003A5030"/>
    <w:rsid w:val="003D40D9"/>
    <w:rsid w:val="003E098E"/>
    <w:rsid w:val="003F1AE2"/>
    <w:rsid w:val="003F3226"/>
    <w:rsid w:val="003F4784"/>
    <w:rsid w:val="004375DF"/>
    <w:rsid w:val="0044324F"/>
    <w:rsid w:val="004517EF"/>
    <w:rsid w:val="00453EF6"/>
    <w:rsid w:val="00460C46"/>
    <w:rsid w:val="004835BE"/>
    <w:rsid w:val="004868A5"/>
    <w:rsid w:val="00487C89"/>
    <w:rsid w:val="00490978"/>
    <w:rsid w:val="004F38D6"/>
    <w:rsid w:val="0052365D"/>
    <w:rsid w:val="0053699E"/>
    <w:rsid w:val="005502D7"/>
    <w:rsid w:val="0055119F"/>
    <w:rsid w:val="00567605"/>
    <w:rsid w:val="005753F0"/>
    <w:rsid w:val="0058144D"/>
    <w:rsid w:val="00587590"/>
    <w:rsid w:val="005B1B72"/>
    <w:rsid w:val="005B7D1F"/>
    <w:rsid w:val="006010C6"/>
    <w:rsid w:val="0061722B"/>
    <w:rsid w:val="00621680"/>
    <w:rsid w:val="006266E2"/>
    <w:rsid w:val="00627CF7"/>
    <w:rsid w:val="006471C1"/>
    <w:rsid w:val="006556CC"/>
    <w:rsid w:val="00665CCD"/>
    <w:rsid w:val="00692BF9"/>
    <w:rsid w:val="006F0ACD"/>
    <w:rsid w:val="00721325"/>
    <w:rsid w:val="00724444"/>
    <w:rsid w:val="007250B7"/>
    <w:rsid w:val="00755882"/>
    <w:rsid w:val="007647C4"/>
    <w:rsid w:val="00767C72"/>
    <w:rsid w:val="007715B3"/>
    <w:rsid w:val="00780AB9"/>
    <w:rsid w:val="00797CD8"/>
    <w:rsid w:val="007C0F59"/>
    <w:rsid w:val="007C716F"/>
    <w:rsid w:val="007D0B07"/>
    <w:rsid w:val="007F08A4"/>
    <w:rsid w:val="00834E94"/>
    <w:rsid w:val="00863EB1"/>
    <w:rsid w:val="008933E9"/>
    <w:rsid w:val="008947AD"/>
    <w:rsid w:val="008A794C"/>
    <w:rsid w:val="008F1CA9"/>
    <w:rsid w:val="0091640C"/>
    <w:rsid w:val="009753CE"/>
    <w:rsid w:val="00976C76"/>
    <w:rsid w:val="0099078E"/>
    <w:rsid w:val="009F1DB6"/>
    <w:rsid w:val="00A65C2B"/>
    <w:rsid w:val="00A90D02"/>
    <w:rsid w:val="00A9494C"/>
    <w:rsid w:val="00AA3F16"/>
    <w:rsid w:val="00AA534A"/>
    <w:rsid w:val="00AB404D"/>
    <w:rsid w:val="00AC45D0"/>
    <w:rsid w:val="00AD0105"/>
    <w:rsid w:val="00AD7710"/>
    <w:rsid w:val="00B24721"/>
    <w:rsid w:val="00B4308C"/>
    <w:rsid w:val="00B57126"/>
    <w:rsid w:val="00B67CBA"/>
    <w:rsid w:val="00B80B71"/>
    <w:rsid w:val="00B976BA"/>
    <w:rsid w:val="00BA3C66"/>
    <w:rsid w:val="00BB554E"/>
    <w:rsid w:val="00BE749B"/>
    <w:rsid w:val="00C055D5"/>
    <w:rsid w:val="00C32430"/>
    <w:rsid w:val="00C67658"/>
    <w:rsid w:val="00C939BC"/>
    <w:rsid w:val="00CA10EB"/>
    <w:rsid w:val="00CD3AD6"/>
    <w:rsid w:val="00CE2928"/>
    <w:rsid w:val="00CE47C1"/>
    <w:rsid w:val="00D018F4"/>
    <w:rsid w:val="00D108E5"/>
    <w:rsid w:val="00D2225E"/>
    <w:rsid w:val="00D37813"/>
    <w:rsid w:val="00D4423C"/>
    <w:rsid w:val="00D55F78"/>
    <w:rsid w:val="00D56A5B"/>
    <w:rsid w:val="00D602B1"/>
    <w:rsid w:val="00D82CD9"/>
    <w:rsid w:val="00D84955"/>
    <w:rsid w:val="00D854D0"/>
    <w:rsid w:val="00D86657"/>
    <w:rsid w:val="00D86C14"/>
    <w:rsid w:val="00DA4F3F"/>
    <w:rsid w:val="00DD3C77"/>
    <w:rsid w:val="00DE3BBB"/>
    <w:rsid w:val="00E17B8C"/>
    <w:rsid w:val="00E4153A"/>
    <w:rsid w:val="00E71FA5"/>
    <w:rsid w:val="00E77A7A"/>
    <w:rsid w:val="00EA0C27"/>
    <w:rsid w:val="00EC3198"/>
    <w:rsid w:val="00EF098A"/>
    <w:rsid w:val="00F03E85"/>
    <w:rsid w:val="00F2333F"/>
    <w:rsid w:val="00F43172"/>
    <w:rsid w:val="00F504E1"/>
    <w:rsid w:val="00F760F5"/>
    <w:rsid w:val="00FA7F11"/>
    <w:rsid w:val="00FE69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A9C679"/>
  <w15:docId w15:val="{0D99B4AD-3300-4F3A-AED2-2A151C4E8E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A7F11"/>
    <w:pPr>
      <w:widowControl w:val="0"/>
      <w:jc w:val="both"/>
    </w:pPr>
    <w:rPr>
      <w:rFonts w:ascii="Calibri" w:eastAsia="宋体" w:hAnsi="Calibri"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B678E"/>
    <w:pPr>
      <w:ind w:firstLineChars="200" w:firstLine="420"/>
    </w:pPr>
    <w:rPr>
      <w:rFonts w:asciiTheme="minorHAnsi" w:eastAsiaTheme="minorEastAsia" w:hAnsiTheme="minorHAnsi" w:cstheme="minorBidi"/>
      <w:szCs w:val="22"/>
    </w:rPr>
  </w:style>
  <w:style w:type="paragraph" w:styleId="a4">
    <w:name w:val="header"/>
    <w:basedOn w:val="a"/>
    <w:link w:val="a5"/>
    <w:uiPriority w:val="99"/>
    <w:unhideWhenUsed/>
    <w:rsid w:val="00287545"/>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5">
    <w:name w:val="页眉 字符"/>
    <w:basedOn w:val="a0"/>
    <w:link w:val="a4"/>
    <w:uiPriority w:val="99"/>
    <w:rsid w:val="00287545"/>
    <w:rPr>
      <w:sz w:val="18"/>
      <w:szCs w:val="18"/>
    </w:rPr>
  </w:style>
  <w:style w:type="paragraph" w:styleId="a6">
    <w:name w:val="footer"/>
    <w:basedOn w:val="a"/>
    <w:link w:val="a7"/>
    <w:uiPriority w:val="99"/>
    <w:unhideWhenUsed/>
    <w:rsid w:val="00287545"/>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7">
    <w:name w:val="页脚 字符"/>
    <w:basedOn w:val="a0"/>
    <w:link w:val="a6"/>
    <w:uiPriority w:val="99"/>
    <w:rsid w:val="00287545"/>
    <w:rPr>
      <w:sz w:val="18"/>
      <w:szCs w:val="18"/>
    </w:rPr>
  </w:style>
  <w:style w:type="paragraph" w:styleId="a8">
    <w:name w:val="Balloon Text"/>
    <w:basedOn w:val="a"/>
    <w:link w:val="a9"/>
    <w:uiPriority w:val="99"/>
    <w:semiHidden/>
    <w:unhideWhenUsed/>
    <w:rsid w:val="00E17B8C"/>
    <w:rPr>
      <w:sz w:val="18"/>
      <w:szCs w:val="18"/>
    </w:rPr>
  </w:style>
  <w:style w:type="character" w:customStyle="1" w:styleId="a9">
    <w:name w:val="批注框文本 字符"/>
    <w:basedOn w:val="a0"/>
    <w:link w:val="a8"/>
    <w:uiPriority w:val="99"/>
    <w:semiHidden/>
    <w:rsid w:val="00E17B8C"/>
    <w:rPr>
      <w:sz w:val="18"/>
      <w:szCs w:val="18"/>
    </w:rPr>
  </w:style>
  <w:style w:type="table" w:styleId="aa">
    <w:name w:val="Table Grid"/>
    <w:basedOn w:val="a1"/>
    <w:uiPriority w:val="39"/>
    <w:rsid w:val="00384B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Date"/>
    <w:basedOn w:val="a"/>
    <w:next w:val="a"/>
    <w:link w:val="ac"/>
    <w:uiPriority w:val="99"/>
    <w:semiHidden/>
    <w:unhideWhenUsed/>
    <w:rsid w:val="00C32430"/>
    <w:pPr>
      <w:ind w:leftChars="2500" w:left="100"/>
    </w:pPr>
  </w:style>
  <w:style w:type="character" w:customStyle="1" w:styleId="ac">
    <w:name w:val="日期 字符"/>
    <w:basedOn w:val="a0"/>
    <w:link w:val="ab"/>
    <w:uiPriority w:val="99"/>
    <w:semiHidden/>
    <w:rsid w:val="00C32430"/>
    <w:rPr>
      <w:rFonts w:ascii="Calibri" w:eastAsia="宋体" w:hAnsi="Calibri" w:cs="Times New Roman"/>
      <w:szCs w:val="24"/>
    </w:rPr>
  </w:style>
  <w:style w:type="paragraph" w:customStyle="1" w:styleId="ad">
    <w:basedOn w:val="a"/>
    <w:next w:val="a3"/>
    <w:uiPriority w:val="34"/>
    <w:qFormat/>
    <w:rsid w:val="00D018F4"/>
    <w:pPr>
      <w:ind w:firstLineChars="200" w:firstLine="420"/>
    </w:pPr>
    <w:rPr>
      <w:szCs w:val="22"/>
    </w:rPr>
  </w:style>
  <w:style w:type="character" w:styleId="ae">
    <w:name w:val="Hyperlink"/>
    <w:basedOn w:val="a0"/>
    <w:uiPriority w:val="99"/>
    <w:unhideWhenUsed/>
    <w:rsid w:val="00B24721"/>
    <w:rPr>
      <w:color w:val="0563C1" w:themeColor="hyperlink"/>
      <w:u w:val="single"/>
    </w:rPr>
  </w:style>
  <w:style w:type="character" w:styleId="af">
    <w:name w:val="Unresolved Mention"/>
    <w:basedOn w:val="a0"/>
    <w:uiPriority w:val="99"/>
    <w:semiHidden/>
    <w:unhideWhenUsed/>
    <w:rsid w:val="00B247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7433995">
      <w:bodyDiv w:val="1"/>
      <w:marLeft w:val="0"/>
      <w:marRight w:val="0"/>
      <w:marTop w:val="0"/>
      <w:marBottom w:val="0"/>
      <w:divBdr>
        <w:top w:val="none" w:sz="0" w:space="0" w:color="auto"/>
        <w:left w:val="none" w:sz="0" w:space="0" w:color="auto"/>
        <w:bottom w:val="none" w:sz="0" w:space="0" w:color="auto"/>
        <w:right w:val="none" w:sz="0" w:space="0" w:color="auto"/>
      </w:divBdr>
    </w:div>
    <w:div w:id="1084256192">
      <w:bodyDiv w:val="1"/>
      <w:marLeft w:val="0"/>
      <w:marRight w:val="0"/>
      <w:marTop w:val="0"/>
      <w:marBottom w:val="0"/>
      <w:divBdr>
        <w:top w:val="none" w:sz="0" w:space="0" w:color="auto"/>
        <w:left w:val="none" w:sz="0" w:space="0" w:color="auto"/>
        <w:bottom w:val="none" w:sz="0" w:space="0" w:color="auto"/>
        <w:right w:val="none" w:sz="0" w:space="0" w:color="auto"/>
      </w:divBdr>
    </w:div>
    <w:div w:id="1975404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299</TotalTime>
  <Pages>2</Pages>
  <Words>354</Words>
  <Characters>2019</Characters>
  <Application>Microsoft Office Word</Application>
  <DocSecurity>0</DocSecurity>
  <Lines>16</Lines>
  <Paragraphs>4</Paragraphs>
  <ScaleCrop>false</ScaleCrop>
  <Company>Hewlett-Packard Company</Company>
  <LinksUpToDate>false</LinksUpToDate>
  <CharactersWithSpaces>2369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c:creator>
  <cp:lastModifiedBy>苗雨 任</cp:lastModifiedBy>
  <cp:revision>115</cp:revision>
  <cp:lastPrinted>2023-02-28T15:05:00Z</cp:lastPrinted>
  <dcterms:created xsi:type="dcterms:W3CDTF">2017-06-15T08:55:00Z</dcterms:created>
  <dcterms:modified xsi:type="dcterms:W3CDTF">2024-01-20T01:42:00Z</dcterms:modified>
</cp:coreProperties>
</file>